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52" w:rsidRDefault="0070415C" w:rsidP="0070415C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R. Johnston, A. </w:t>
      </w:r>
      <w:proofErr w:type="spellStart"/>
      <w:r>
        <w:rPr>
          <w:rFonts w:ascii="Times New Roman" w:hAnsi="Times New Roman"/>
          <w:sz w:val="22"/>
        </w:rPr>
        <w:t>Blais</w:t>
      </w:r>
      <w:proofErr w:type="spellEnd"/>
      <w:r>
        <w:rPr>
          <w:rFonts w:ascii="Times New Roman" w:hAnsi="Times New Roman"/>
          <w:sz w:val="22"/>
        </w:rPr>
        <w:t xml:space="preserve">, </w:t>
      </w:r>
      <w:proofErr w:type="gramStart"/>
      <w:r>
        <w:rPr>
          <w:rFonts w:ascii="Times New Roman" w:hAnsi="Times New Roman"/>
          <w:sz w:val="22"/>
        </w:rPr>
        <w:t>H</w:t>
      </w:r>
      <w:proofErr w:type="gramEnd"/>
      <w:r>
        <w:rPr>
          <w:rFonts w:ascii="Times New Roman" w:hAnsi="Times New Roman"/>
          <w:sz w:val="22"/>
        </w:rPr>
        <w:t xml:space="preserve">. Brody, and J. Crete, </w:t>
      </w:r>
      <w:r>
        <w:rPr>
          <w:rFonts w:ascii="Times New Roman" w:hAnsi="Times New Roman"/>
          <w:i/>
          <w:sz w:val="22"/>
        </w:rPr>
        <w:t xml:space="preserve">Letting the People Decide </w:t>
      </w:r>
      <w:r>
        <w:rPr>
          <w:rFonts w:ascii="Times New Roman" w:hAnsi="Times New Roman"/>
          <w:sz w:val="22"/>
        </w:rPr>
        <w:t>(MQUP, 1992), Ch 2, 6, 8</w:t>
      </w:r>
    </w:p>
    <w:p w:rsidR="007D4252" w:rsidRDefault="007D4252" w:rsidP="0070415C">
      <w:pPr>
        <w:spacing w:after="120"/>
        <w:rPr>
          <w:rFonts w:ascii="Times New Roman" w:hAnsi="Times New Roman"/>
          <w:b/>
          <w:sz w:val="22"/>
        </w:rPr>
      </w:pPr>
    </w:p>
    <w:p w:rsidR="006E55AF" w:rsidRDefault="006E55AF" w:rsidP="006E55AF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Epilogue</w:t>
      </w:r>
    </w:p>
    <w:p w:rsidR="006E55AF" w:rsidRPr="006E55AF" w:rsidRDefault="006E55AF" w:rsidP="006E55AF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 w:rsidRPr="006E55AF">
        <w:rPr>
          <w:rFonts w:ascii="Times New Roman" w:hAnsi="Times New Roman"/>
          <w:sz w:val="22"/>
        </w:rPr>
        <w:t xml:space="preserve">Place significant emphasis on the idea of </w:t>
      </w:r>
      <w:r w:rsidRPr="006E55AF">
        <w:rPr>
          <w:rFonts w:ascii="Times New Roman" w:hAnsi="Times New Roman"/>
          <w:i/>
          <w:sz w:val="22"/>
        </w:rPr>
        <w:t>issue primin</w:t>
      </w:r>
      <w:r>
        <w:rPr>
          <w:rFonts w:ascii="Times New Roman" w:hAnsi="Times New Roman"/>
          <w:i/>
          <w:sz w:val="22"/>
        </w:rPr>
        <w:t>g</w:t>
      </w:r>
    </w:p>
    <w:p w:rsidR="006E55AF" w:rsidRDefault="006E55AF" w:rsidP="006E55AF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Two theoretical explanations can be found for robust priming effects </w:t>
      </w:r>
    </w:p>
    <w:p w:rsidR="006E55AF" w:rsidRDefault="006E55AF" w:rsidP="006E55AF">
      <w:pPr>
        <w:pStyle w:val="ListParagraph"/>
        <w:numPr>
          <w:ilvl w:val="2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First – comes from social choice theory and suggests that politicians will sometimes emphasize a particular issue to gain strategic advantage over their opponents</w:t>
      </w:r>
    </w:p>
    <w:p w:rsidR="006E55AF" w:rsidRDefault="006E55AF" w:rsidP="006E55AF">
      <w:pPr>
        <w:pStyle w:val="ListParagraph"/>
        <w:numPr>
          <w:ilvl w:val="2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Second – comes from combining recent work on decision-making and choice with the older Columbia University research on campaign effects. Emphasis here on accessibility, priming, and selective attention</w:t>
      </w:r>
    </w:p>
    <w:p w:rsidR="00D92E47" w:rsidRDefault="006E55AF" w:rsidP="006E55AF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Authors suspect that partisans are especially vulnerable to priming</w:t>
      </w:r>
      <w:r w:rsidR="00D92E47">
        <w:rPr>
          <w:rFonts w:ascii="Times New Roman" w:hAnsi="Times New Roman"/>
          <w:sz w:val="22"/>
        </w:rPr>
        <w:t xml:space="preserve"> – with rhetoric playing a role in directing voters toward a specific agenda and considerations surrounding that agenda</w:t>
      </w:r>
    </w:p>
    <w:p w:rsidR="00D92E47" w:rsidRDefault="00D92E47" w:rsidP="00D92E47">
      <w:pPr>
        <w:pStyle w:val="ListParagraph"/>
        <w:spacing w:after="120"/>
        <w:rPr>
          <w:rFonts w:ascii="Times New Roman" w:hAnsi="Times New Roman"/>
          <w:sz w:val="22"/>
        </w:rPr>
      </w:pPr>
    </w:p>
    <w:p w:rsidR="00D92E47" w:rsidRPr="00D92E47" w:rsidRDefault="00D92E47" w:rsidP="00D92E4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Four Alternative E</w:t>
      </w:r>
      <w:r w:rsidRPr="00D92E47">
        <w:rPr>
          <w:rFonts w:ascii="Times New Roman" w:hAnsi="Times New Roman"/>
          <w:sz w:val="22"/>
        </w:rPr>
        <w:t>xplanations:</w:t>
      </w:r>
    </w:p>
    <w:p w:rsidR="00D92E47" w:rsidRDefault="00D92E47" w:rsidP="006E55AF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From spatial theory: (1) In spatial models with plurality voting, three mobile alternatives, and one issue, “at least one party will be outside or on the boundary of the </w:t>
      </w:r>
      <w:proofErr w:type="spellStart"/>
      <w:r>
        <w:rPr>
          <w:rFonts w:ascii="Times New Roman" w:hAnsi="Times New Roman"/>
          <w:sz w:val="22"/>
        </w:rPr>
        <w:t>interquartile</w:t>
      </w:r>
      <w:proofErr w:type="spellEnd"/>
      <w:r>
        <w:rPr>
          <w:rFonts w:ascii="Times New Roman" w:hAnsi="Times New Roman"/>
          <w:sz w:val="22"/>
        </w:rPr>
        <w:t xml:space="preserve"> range of the electorate’s distribution of ideal points” – this does not fit 1988</w:t>
      </w:r>
    </w:p>
    <w:p w:rsidR="00D92E47" w:rsidRDefault="00D92E47" w:rsidP="00D92E47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(2) Catering to party activists leads to differences among parties – the more a party converges on the median, the fewer reasons it gives its workers and financial angels, who are typically far away from the median, for helping it. </w:t>
      </w:r>
    </w:p>
    <w:p w:rsidR="00D92E47" w:rsidRDefault="00D92E47" w:rsidP="00D92E47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(3) To the extent that an event such as a debate is about leadership, it may yield gains to a party independently of policy distances. In this case, failure to select a median policy no longer unduly risks defeat in the case of very large number of voters, since a candidate may win anyway if he or she is fortunate enough to win the debate</w:t>
      </w:r>
    </w:p>
    <w:p w:rsidR="00D92E47" w:rsidRDefault="00D92E47" w:rsidP="00D92E47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From directional theory: (4) the spatial model is flawed at its very foundation – people do not support the party closest to them, rather they support the party that is on the same side of the status quo as they are</w:t>
      </w:r>
    </w:p>
    <w:p w:rsidR="00D92E47" w:rsidRDefault="00D92E47" w:rsidP="00D92E47">
      <w:pPr>
        <w:pStyle w:val="ListParagraph"/>
        <w:spacing w:after="120"/>
        <w:rPr>
          <w:rFonts w:ascii="Times New Roman" w:hAnsi="Times New Roman"/>
          <w:sz w:val="22"/>
        </w:rPr>
      </w:pPr>
    </w:p>
    <w:p w:rsidR="0070415C" w:rsidRPr="006E55AF" w:rsidRDefault="00D92E47" w:rsidP="00D92E47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Johnston et al believe that these theories fall short. What needs to be added to spatial models is a force that drives parties away from the centre – and that force is priming. </w:t>
      </w:r>
      <w:proofErr w:type="gramStart"/>
      <w:r>
        <w:rPr>
          <w:rFonts w:ascii="Times New Roman" w:hAnsi="Times New Roman"/>
          <w:sz w:val="22"/>
        </w:rPr>
        <w:t>Parties</w:t>
      </w:r>
      <w:proofErr w:type="gramEnd"/>
      <w:r>
        <w:rPr>
          <w:rFonts w:ascii="Times New Roman" w:hAnsi="Times New Roman"/>
          <w:sz w:val="22"/>
        </w:rPr>
        <w:t xml:space="preserve"> prime because they must provide voters with reasons for voting for them – but not just any reasons will do. They must be reasons with enough force that they will cause people to vote for the party – reasons connected to the mainsprings, to the basic cleavages, of the political system are excellent candidates. The best reasons are ones that resonate with the pre-existing partisan ties of the electorate – Free Trade passed this test, </w:t>
      </w:r>
      <w:proofErr w:type="spellStart"/>
      <w:r>
        <w:rPr>
          <w:rFonts w:ascii="Times New Roman" w:hAnsi="Times New Roman"/>
          <w:sz w:val="22"/>
        </w:rPr>
        <w:t>Meech</w:t>
      </w:r>
      <w:proofErr w:type="spellEnd"/>
      <w:r>
        <w:rPr>
          <w:rFonts w:ascii="Times New Roman" w:hAnsi="Times New Roman"/>
          <w:sz w:val="22"/>
        </w:rPr>
        <w:t xml:space="preserve"> Lake did not.</w:t>
      </w:r>
    </w:p>
    <w:sectPr w:rsidR="0070415C" w:rsidRPr="006E55AF" w:rsidSect="0070415C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C34AD"/>
    <w:multiLevelType w:val="hybridMultilevel"/>
    <w:tmpl w:val="0E5E7066"/>
    <w:lvl w:ilvl="0" w:tplc="FB70888C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CD5AB5"/>
    <w:multiLevelType w:val="hybridMultilevel"/>
    <w:tmpl w:val="38D0008C"/>
    <w:lvl w:ilvl="0" w:tplc="FB70888C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415C"/>
    <w:rsid w:val="006E55AF"/>
    <w:rsid w:val="0070415C"/>
    <w:rsid w:val="007D4252"/>
    <w:rsid w:val="00D8053E"/>
    <w:rsid w:val="00D92E4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D4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2012-05-11T23:44:00Z</dcterms:created>
  <dcterms:modified xsi:type="dcterms:W3CDTF">2012-05-12T01:21:00Z</dcterms:modified>
</cp:coreProperties>
</file>